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05A" w:rsidRPr="0098205A" w:rsidRDefault="0098205A" w:rsidP="0098205A">
      <w:pPr>
        <w:spacing w:after="0" w:line="240" w:lineRule="auto"/>
        <w:jc w:val="right"/>
        <w:rPr>
          <w:rFonts w:ascii="Times New Roman" w:hAnsi="Times New Roman" w:cs="Times New Roman"/>
          <w:b/>
          <w:sz w:val="28"/>
          <w:szCs w:val="28"/>
          <w:lang w:val="ba-RU"/>
        </w:rPr>
      </w:pPr>
      <w:r>
        <w:rPr>
          <w:rFonts w:ascii="Times New Roman" w:hAnsi="Times New Roman" w:cs="Times New Roman"/>
          <w:b/>
          <w:sz w:val="28"/>
          <w:szCs w:val="28"/>
          <w:lang w:val="ba-RU"/>
        </w:rPr>
        <w:t xml:space="preserve">ПРОЕКТ </w:t>
      </w:r>
    </w:p>
    <w:p w:rsidR="0098205A" w:rsidRDefault="000E69BC" w:rsidP="0098205A">
      <w:pPr>
        <w:spacing w:after="0" w:line="240" w:lineRule="auto"/>
        <w:jc w:val="center"/>
        <w:rPr>
          <w:rFonts w:ascii="Times New Roman" w:hAnsi="Times New Roman" w:cs="Times New Roman"/>
          <w:b/>
          <w:sz w:val="28"/>
          <w:szCs w:val="28"/>
          <w:lang w:val="ba-RU"/>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98205A">
        <w:rPr>
          <w:rFonts w:ascii="Times New Roman" w:hAnsi="Times New Roman" w:cs="Times New Roman"/>
          <w:b/>
          <w:sz w:val="28"/>
          <w:szCs w:val="28"/>
          <w:lang w:val="ba-RU"/>
        </w:rPr>
        <w:t xml:space="preserve"> сельского поселения Кабаковский сельсовет муниципального района Кармаскалинский район</w:t>
      </w:r>
    </w:p>
    <w:p w:rsidR="0098205A" w:rsidRDefault="0098205A" w:rsidP="0098205A">
      <w:pPr>
        <w:spacing w:after="0" w:line="240" w:lineRule="auto"/>
        <w:jc w:val="center"/>
        <w:rPr>
          <w:rFonts w:ascii="Times New Roman" w:hAnsi="Times New Roman" w:cs="Times New Roman"/>
          <w:b/>
          <w:sz w:val="28"/>
          <w:szCs w:val="28"/>
          <w:lang w:val="ba-RU"/>
        </w:rPr>
      </w:pPr>
      <w:r>
        <w:rPr>
          <w:rFonts w:ascii="Times New Roman" w:hAnsi="Times New Roman" w:cs="Times New Roman"/>
          <w:b/>
          <w:sz w:val="28"/>
          <w:szCs w:val="28"/>
          <w:lang w:val="ba-RU"/>
        </w:rPr>
        <w:t xml:space="preserve"> Республики Башкортостан</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CE1BA8"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«___» ________20___ года № ____</w:t>
      </w:r>
    </w:p>
    <w:p w:rsidR="000E69BC" w:rsidRPr="00D600BD"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98205A" w:rsidRDefault="000E69BC" w:rsidP="0098205A">
      <w:pPr>
        <w:jc w:val="center"/>
        <w:rPr>
          <w:rFonts w:ascii="Times New Roman" w:hAnsi="Times New Roman" w:cs="Times New Roman"/>
          <w:b/>
          <w:bCs/>
          <w:sz w:val="28"/>
          <w:szCs w:val="28"/>
          <w:lang w:val="ba-RU"/>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r w:rsidR="0098205A">
        <w:rPr>
          <w:rFonts w:ascii="Times New Roman" w:hAnsi="Times New Roman" w:cs="Times New Roman"/>
          <w:b/>
          <w:sz w:val="28"/>
          <w:szCs w:val="28"/>
          <w:lang w:val="ba-RU"/>
        </w:rPr>
        <w:t xml:space="preserve"> </w:t>
      </w:r>
      <w:r w:rsidRPr="00CE1BA8">
        <w:rPr>
          <w:rFonts w:ascii="Times New Roman" w:hAnsi="Times New Roman" w:cs="Times New Roman"/>
          <w:b/>
          <w:bCs/>
          <w:sz w:val="28"/>
          <w:szCs w:val="28"/>
        </w:rPr>
        <w:t xml:space="preserve">в </w:t>
      </w:r>
      <w:bookmarkStart w:id="0" w:name="_Hlk171593802"/>
      <w:r w:rsidR="0098205A">
        <w:rPr>
          <w:rFonts w:ascii="Times New Roman" w:hAnsi="Times New Roman" w:cs="Times New Roman"/>
          <w:b/>
          <w:bCs/>
          <w:sz w:val="28"/>
          <w:szCs w:val="28"/>
          <w:lang w:val="ba-RU"/>
        </w:rPr>
        <w:t>Администрации сельского поселения Кабаковский сельсовет муниципального района Кармаскалинский район Республики Башкортостан</w:t>
      </w:r>
    </w:p>
    <w:bookmarkEnd w:id="0"/>
    <w:p w:rsidR="000E69BC" w:rsidRPr="0098205A" w:rsidRDefault="000E69BC" w:rsidP="000E69BC">
      <w:pPr>
        <w:tabs>
          <w:tab w:val="left" w:pos="2835"/>
        </w:tabs>
        <w:autoSpaceDE w:val="0"/>
        <w:autoSpaceDN w:val="0"/>
        <w:adjustRightInd w:val="0"/>
        <w:spacing w:after="0" w:line="240" w:lineRule="auto"/>
        <w:ind w:firstLine="709"/>
        <w:jc w:val="both"/>
        <w:rPr>
          <w:rFonts w:ascii="Times New Roman" w:hAnsi="Times New Roman" w:cs="Times New Roman"/>
          <w:sz w:val="28"/>
          <w:szCs w:val="28"/>
          <w:lang w:val="ba-RU"/>
        </w:rPr>
      </w:pPr>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8205A">
        <w:rPr>
          <w:rFonts w:ascii="Times New Roman" w:hAnsi="Times New Roman" w:cs="Times New Roman"/>
          <w:sz w:val="28"/>
          <w:szCs w:val="28"/>
          <w:lang w:val="ba-RU"/>
        </w:rPr>
        <w:t>сельского поселения Кабаковский сельсовет муниципального района Кармаскалинский район Республики Башкортостан,</w:t>
      </w:r>
    </w:p>
    <w:p w:rsidR="000E69BC" w:rsidRPr="0098205A" w:rsidRDefault="000E69BC" w:rsidP="0098205A">
      <w:pPr>
        <w:tabs>
          <w:tab w:val="left" w:pos="2835"/>
        </w:tabs>
        <w:autoSpaceDE w:val="0"/>
        <w:autoSpaceDN w:val="0"/>
        <w:adjustRightInd w:val="0"/>
        <w:spacing w:after="0" w:line="240" w:lineRule="auto"/>
        <w:jc w:val="both"/>
        <w:rPr>
          <w:szCs w:val="28"/>
          <w:lang w:val="ba-RU"/>
        </w:rPr>
      </w:pPr>
      <w:r w:rsidRPr="00CE1BA8">
        <w:rPr>
          <w:rFonts w:ascii="Times New Roman" w:hAnsi="Times New Roman" w:cs="Times New Roman"/>
          <w:sz w:val="20"/>
          <w:szCs w:val="28"/>
        </w:rPr>
        <w:t xml:space="preserve">                                            </w:t>
      </w:r>
    </w:p>
    <w:p w:rsidR="000E69BC" w:rsidRPr="00CE1BA8" w:rsidRDefault="000E69BC" w:rsidP="000E69BC">
      <w:pPr>
        <w:pStyle w:val="3"/>
        <w:ind w:firstLine="709"/>
        <w:rPr>
          <w:szCs w:val="28"/>
        </w:rPr>
      </w:pPr>
      <w:r w:rsidRPr="00CE1BA8">
        <w:rPr>
          <w:szCs w:val="28"/>
        </w:rPr>
        <w:t>ПОСТАНОВЛЯЕТ:</w:t>
      </w:r>
    </w:p>
    <w:p w:rsidR="000E69BC" w:rsidRPr="008E13EE" w:rsidRDefault="000E69BC" w:rsidP="008E13EE">
      <w:pPr>
        <w:spacing w:after="0" w:line="240" w:lineRule="auto"/>
        <w:ind w:firstLine="708"/>
        <w:jc w:val="both"/>
        <w:rPr>
          <w:rFonts w:ascii="Times New Roman" w:eastAsiaTheme="minorEastAsia" w:hAnsi="Times New Roman" w:cs="Times New Roman"/>
          <w:bCs/>
          <w:sz w:val="28"/>
          <w:szCs w:val="28"/>
          <w:lang w:eastAsia="ru-RU"/>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98205A" w:rsidRPr="0098205A">
        <w:t xml:space="preserve"> </w:t>
      </w:r>
      <w:r w:rsidR="0098205A" w:rsidRPr="0098205A">
        <w:rPr>
          <w:rFonts w:ascii="Times New Roman" w:eastAsiaTheme="minorEastAsia" w:hAnsi="Times New Roman" w:cs="Times New Roman"/>
          <w:bCs/>
          <w:sz w:val="28"/>
          <w:szCs w:val="28"/>
          <w:lang w:eastAsia="ru-RU"/>
        </w:rPr>
        <w:t xml:space="preserve">Администрации сельского поселения Кабаковский сельсовет муниципального района </w:t>
      </w:r>
      <w:r w:rsidR="0098205A">
        <w:rPr>
          <w:rFonts w:ascii="Times New Roman" w:eastAsiaTheme="minorEastAsia" w:hAnsi="Times New Roman" w:cs="Times New Roman"/>
          <w:bCs/>
          <w:sz w:val="28"/>
          <w:szCs w:val="28"/>
          <w:lang w:val="ba-RU" w:eastAsia="ru-RU"/>
        </w:rPr>
        <w:t>К</w:t>
      </w:r>
      <w:r w:rsidR="0098205A" w:rsidRPr="0098205A">
        <w:rPr>
          <w:rFonts w:ascii="Times New Roman" w:eastAsiaTheme="minorEastAsia" w:hAnsi="Times New Roman" w:cs="Times New Roman"/>
          <w:bCs/>
          <w:sz w:val="28"/>
          <w:szCs w:val="28"/>
          <w:lang w:eastAsia="ru-RU"/>
        </w:rPr>
        <w:t>армаскалинский район Республики Башкортостан</w:t>
      </w:r>
    </w:p>
    <w:p w:rsidR="000E69BC" w:rsidRPr="00CE1BA8" w:rsidRDefault="000E69BC" w:rsidP="009820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w:t>
      </w:r>
      <w:r w:rsidR="0024007F">
        <w:rPr>
          <w:rFonts w:ascii="Times New Roman" w:hAnsi="Times New Roman" w:cs="Times New Roman"/>
          <w:sz w:val="28"/>
          <w:szCs w:val="28"/>
          <w:lang w:val="ba-RU"/>
        </w:rPr>
        <w:t>.</w:t>
      </w:r>
      <w:r w:rsidRPr="00CE1BA8">
        <w:rPr>
          <w:rFonts w:ascii="Times New Roman" w:hAnsi="Times New Roman" w:cs="Times New Roman"/>
          <w:sz w:val="28"/>
          <w:szCs w:val="28"/>
        </w:rPr>
        <w:t xml:space="preserve"> </w:t>
      </w:r>
    </w:p>
    <w:p w:rsidR="0024007F" w:rsidRDefault="000E69BC" w:rsidP="0024007F">
      <w:pPr>
        <w:ind w:firstLine="709"/>
        <w:jc w:val="both"/>
        <w:rPr>
          <w:rFonts w:ascii="Times New Roman" w:hAnsi="Times New Roman" w:cs="Times New Roman"/>
          <w:sz w:val="28"/>
          <w:szCs w:val="28"/>
        </w:rPr>
      </w:pPr>
      <w:r w:rsidRPr="00CE1BA8">
        <w:rPr>
          <w:rFonts w:ascii="Times New Roman" w:eastAsia="Times New Roman" w:hAnsi="Times New Roman" w:cs="Times New Roman"/>
          <w:sz w:val="28"/>
          <w:szCs w:val="28"/>
          <w:lang w:eastAsia="ru-RU"/>
        </w:rPr>
        <w:t xml:space="preserve">3. Настоящее постановление опубликовать (обнародовать) </w:t>
      </w:r>
      <w:r w:rsidR="0024007F" w:rsidRPr="0024007F">
        <w:rPr>
          <w:rFonts w:ascii="Times New Roman" w:hAnsi="Times New Roman" w:cs="Times New Roman"/>
          <w:sz w:val="28"/>
          <w:szCs w:val="28"/>
        </w:rPr>
        <w:t xml:space="preserve">в сети общего доступа «Интернет» на официальном сайте администрации сельского поселения Кабаковский сельсовет муниципального района Кармаскалинский район Республики Башкортостан </w:t>
      </w:r>
      <w:hyperlink r:id="rId8" w:history="1">
        <w:r w:rsidR="0024007F" w:rsidRPr="0024007F">
          <w:rPr>
            <w:rFonts w:ascii="Times New Roman" w:hAnsi="Times New Roman" w:cs="Times New Roman"/>
            <w:sz w:val="28"/>
            <w:szCs w:val="28"/>
            <w:u w:val="single"/>
          </w:rPr>
          <w:t>www.</w:t>
        </w:r>
        <w:r w:rsidR="0024007F" w:rsidRPr="0024007F">
          <w:rPr>
            <w:rFonts w:ascii="Times New Roman" w:hAnsi="Times New Roman" w:cs="Times New Roman"/>
            <w:sz w:val="28"/>
            <w:szCs w:val="28"/>
            <w:u w:val="single"/>
            <w:lang w:val="en-US"/>
          </w:rPr>
          <w:t>kabakovosp</w:t>
        </w:r>
        <w:r w:rsidR="0024007F" w:rsidRPr="0024007F">
          <w:rPr>
            <w:rFonts w:ascii="Times New Roman" w:hAnsi="Times New Roman" w:cs="Times New Roman"/>
            <w:sz w:val="28"/>
            <w:szCs w:val="28"/>
            <w:u w:val="single"/>
          </w:rPr>
          <w:t>.ru</w:t>
        </w:r>
      </w:hyperlink>
      <w:r w:rsidR="0024007F" w:rsidRPr="0024007F">
        <w:rPr>
          <w:rFonts w:ascii="Times New Roman" w:hAnsi="Times New Roman" w:cs="Times New Roman"/>
          <w:sz w:val="28"/>
          <w:szCs w:val="28"/>
          <w:u w:val="single"/>
        </w:rPr>
        <w:t>.</w:t>
      </w:r>
    </w:p>
    <w:p w:rsidR="0024007F" w:rsidRPr="0024007F" w:rsidRDefault="0024007F" w:rsidP="0024007F">
      <w:pPr>
        <w:ind w:firstLine="709"/>
        <w:jc w:val="both"/>
        <w:rPr>
          <w:rFonts w:ascii="Times New Roman" w:hAnsi="Times New Roman" w:cs="Times New Roman"/>
          <w:sz w:val="28"/>
          <w:szCs w:val="28"/>
        </w:rPr>
      </w:pPr>
      <w:r>
        <w:rPr>
          <w:rFonts w:ascii="Times New Roman" w:hAnsi="Times New Roman" w:cs="Times New Roman"/>
          <w:sz w:val="28"/>
          <w:szCs w:val="28"/>
          <w:lang w:val="ba-RU"/>
        </w:rPr>
        <w:t>4.</w:t>
      </w:r>
      <w:r w:rsidRPr="0024007F">
        <w:rPr>
          <w:rFonts w:ascii="Times New Roman" w:eastAsia="Calibri" w:hAnsi="Times New Roman" w:cs="Times New Roman"/>
          <w:bCs/>
          <w:sz w:val="28"/>
          <w:szCs w:val="28"/>
        </w:rPr>
        <w:t>Контроль за исполнением настоящего постановления оставляю за собой.</w:t>
      </w:r>
    </w:p>
    <w:p w:rsidR="0024007F" w:rsidRPr="0024007F" w:rsidRDefault="0024007F" w:rsidP="0024007F">
      <w:pPr>
        <w:spacing w:after="0" w:line="240" w:lineRule="auto"/>
        <w:ind w:firstLine="851"/>
        <w:jc w:val="right"/>
        <w:rPr>
          <w:rFonts w:ascii="Times New Roman" w:eastAsia="Calibri" w:hAnsi="Times New Roman" w:cs="Times New Roman"/>
          <w:sz w:val="28"/>
          <w:szCs w:val="28"/>
        </w:rPr>
      </w:pPr>
    </w:p>
    <w:p w:rsidR="0024007F" w:rsidRPr="0024007F" w:rsidRDefault="0024007F" w:rsidP="0024007F">
      <w:pPr>
        <w:spacing w:after="0" w:line="240" w:lineRule="auto"/>
        <w:rPr>
          <w:rFonts w:ascii="Times New Roman" w:eastAsia="Calibri" w:hAnsi="Times New Roman" w:cs="Times New Roman"/>
          <w:sz w:val="28"/>
          <w:szCs w:val="28"/>
        </w:rPr>
      </w:pPr>
      <w:r w:rsidRPr="0024007F">
        <w:rPr>
          <w:rFonts w:ascii="Times New Roman" w:eastAsia="Calibri" w:hAnsi="Times New Roman" w:cs="Times New Roman"/>
          <w:sz w:val="28"/>
          <w:szCs w:val="28"/>
        </w:rPr>
        <w:t>Глава сельского поселения                                                                 Р.Ф. Аюпов</w:t>
      </w:r>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lastRenderedPageBreak/>
        <w:t>Утвержден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постановлением Администрации</w:t>
      </w:r>
    </w:p>
    <w:p w:rsidR="0024007F" w:rsidRDefault="0024007F" w:rsidP="000E69BC">
      <w:pPr>
        <w:widowControl w:val="0"/>
        <w:autoSpaceDE w:val="0"/>
        <w:autoSpaceDN w:val="0"/>
        <w:adjustRightInd w:val="0"/>
        <w:spacing w:after="0" w:line="240" w:lineRule="auto"/>
        <w:ind w:firstLine="851"/>
        <w:jc w:val="right"/>
        <w:rPr>
          <w:rFonts w:ascii="Times New Roman" w:hAnsi="Times New Roman" w:cs="Times New Roman"/>
          <w:b/>
          <w:sz w:val="28"/>
          <w:szCs w:val="28"/>
          <w:lang w:val="ba-RU"/>
        </w:rPr>
      </w:pPr>
      <w:r>
        <w:rPr>
          <w:rFonts w:ascii="Times New Roman" w:hAnsi="Times New Roman" w:cs="Times New Roman"/>
          <w:b/>
          <w:sz w:val="28"/>
          <w:szCs w:val="28"/>
          <w:lang w:val="ba-RU"/>
        </w:rPr>
        <w:t>сельского поселения</w:t>
      </w:r>
    </w:p>
    <w:p w:rsidR="000E69BC" w:rsidRDefault="0024007F" w:rsidP="000E69BC">
      <w:pPr>
        <w:widowControl w:val="0"/>
        <w:autoSpaceDE w:val="0"/>
        <w:autoSpaceDN w:val="0"/>
        <w:adjustRightInd w:val="0"/>
        <w:spacing w:after="0" w:line="240" w:lineRule="auto"/>
        <w:ind w:firstLine="851"/>
        <w:jc w:val="right"/>
        <w:rPr>
          <w:rFonts w:ascii="Times New Roman" w:hAnsi="Times New Roman" w:cs="Times New Roman"/>
          <w:b/>
          <w:sz w:val="28"/>
          <w:szCs w:val="28"/>
          <w:lang w:val="ba-RU"/>
        </w:rPr>
      </w:pPr>
      <w:r>
        <w:rPr>
          <w:rFonts w:ascii="Times New Roman" w:hAnsi="Times New Roman" w:cs="Times New Roman"/>
          <w:b/>
          <w:sz w:val="28"/>
          <w:szCs w:val="28"/>
          <w:lang w:val="ba-RU"/>
        </w:rPr>
        <w:t xml:space="preserve"> Кабаковский сельсовет</w:t>
      </w:r>
    </w:p>
    <w:p w:rsidR="0024007F" w:rsidRDefault="0024007F" w:rsidP="000E69BC">
      <w:pPr>
        <w:widowControl w:val="0"/>
        <w:autoSpaceDE w:val="0"/>
        <w:autoSpaceDN w:val="0"/>
        <w:adjustRightInd w:val="0"/>
        <w:spacing w:after="0" w:line="240" w:lineRule="auto"/>
        <w:ind w:firstLine="851"/>
        <w:jc w:val="right"/>
        <w:rPr>
          <w:rFonts w:ascii="Times New Roman" w:hAnsi="Times New Roman" w:cs="Times New Roman"/>
          <w:b/>
          <w:sz w:val="28"/>
          <w:szCs w:val="28"/>
          <w:lang w:val="ba-RU"/>
        </w:rPr>
      </w:pPr>
      <w:r>
        <w:rPr>
          <w:rFonts w:ascii="Times New Roman" w:hAnsi="Times New Roman" w:cs="Times New Roman"/>
          <w:b/>
          <w:sz w:val="28"/>
          <w:szCs w:val="28"/>
          <w:lang w:val="ba-RU"/>
        </w:rPr>
        <w:t xml:space="preserve">муниципального района </w:t>
      </w:r>
    </w:p>
    <w:p w:rsidR="0024007F" w:rsidRDefault="0024007F" w:rsidP="000E69BC">
      <w:pPr>
        <w:widowControl w:val="0"/>
        <w:autoSpaceDE w:val="0"/>
        <w:autoSpaceDN w:val="0"/>
        <w:adjustRightInd w:val="0"/>
        <w:spacing w:after="0" w:line="240" w:lineRule="auto"/>
        <w:ind w:firstLine="851"/>
        <w:jc w:val="right"/>
        <w:rPr>
          <w:rFonts w:ascii="Times New Roman" w:hAnsi="Times New Roman" w:cs="Times New Roman"/>
          <w:b/>
          <w:sz w:val="28"/>
          <w:szCs w:val="28"/>
          <w:lang w:val="ba-RU"/>
        </w:rPr>
      </w:pPr>
      <w:r>
        <w:rPr>
          <w:rFonts w:ascii="Times New Roman" w:hAnsi="Times New Roman" w:cs="Times New Roman"/>
          <w:b/>
          <w:sz w:val="28"/>
          <w:szCs w:val="28"/>
          <w:lang w:val="ba-RU"/>
        </w:rPr>
        <w:t>Кармаскалинский район</w:t>
      </w:r>
    </w:p>
    <w:p w:rsidR="0024007F" w:rsidRPr="0024007F" w:rsidRDefault="0024007F" w:rsidP="000E69BC">
      <w:pPr>
        <w:widowControl w:val="0"/>
        <w:autoSpaceDE w:val="0"/>
        <w:autoSpaceDN w:val="0"/>
        <w:adjustRightInd w:val="0"/>
        <w:spacing w:after="0" w:line="240" w:lineRule="auto"/>
        <w:ind w:firstLine="851"/>
        <w:jc w:val="right"/>
        <w:rPr>
          <w:rFonts w:ascii="Times New Roman" w:hAnsi="Times New Roman" w:cs="Times New Roman"/>
          <w:b/>
          <w:sz w:val="28"/>
          <w:szCs w:val="28"/>
          <w:lang w:val="ba-RU"/>
        </w:rPr>
      </w:pPr>
      <w:r>
        <w:rPr>
          <w:rFonts w:ascii="Times New Roman" w:hAnsi="Times New Roman" w:cs="Times New Roman"/>
          <w:b/>
          <w:sz w:val="28"/>
          <w:szCs w:val="28"/>
          <w:lang w:val="ba-RU"/>
        </w:rPr>
        <w:t>Республики башкортостан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bookmarkStart w:id="1" w:name="_GoBack"/>
      <w:bookmarkEnd w:id="1"/>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24007F" w:rsidRDefault="000E69BC" w:rsidP="0024007F">
      <w:pPr>
        <w:jc w:val="center"/>
        <w:rPr>
          <w:rFonts w:ascii="Times New Roman" w:hAnsi="Times New Roman" w:cs="Times New Roman"/>
          <w:b/>
          <w:bCs/>
          <w:sz w:val="28"/>
          <w:szCs w:val="28"/>
          <w:lang w:val="ba-RU"/>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24007F">
        <w:rPr>
          <w:rFonts w:ascii="Times New Roman" w:hAnsi="Times New Roman" w:cs="Times New Roman"/>
          <w:b/>
          <w:bCs/>
          <w:sz w:val="28"/>
          <w:szCs w:val="28"/>
          <w:lang w:val="ba-RU"/>
        </w:rPr>
        <w:t>Администрации сельского поселения Кабаковский сельсовет муниципального района Кармаскалинский район Республики Башкортостан</w:t>
      </w: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56"/>
      <w:bookmarkEnd w:id="2"/>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w:t>
      </w:r>
      <w:r w:rsidRPr="00EF245B">
        <w:rPr>
          <w:rFonts w:ascii="Times New Roman" w:hAnsi="Times New Roman" w:cs="Times New Roman"/>
          <w:color w:val="000000" w:themeColor="text1"/>
          <w:sz w:val="28"/>
          <w:szCs w:val="28"/>
        </w:rPr>
        <w:lastRenderedPageBreak/>
        <w:t xml:space="preserve">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276965" w:rsidRDefault="00572BED" w:rsidP="002F50F8">
      <w:pPr>
        <w:pStyle w:val="ConsPlusNormal"/>
        <w:ind w:firstLine="540"/>
        <w:jc w:val="both"/>
        <w:rPr>
          <w:rFonts w:ascii="Times New Roman" w:hAnsi="Times New Roman" w:cs="Times New Roman"/>
          <w:color w:val="FF0000"/>
          <w:sz w:val="28"/>
          <w:szCs w:val="28"/>
        </w:rPr>
      </w:pPr>
      <w:r w:rsidRPr="00276965">
        <w:rPr>
          <w:rFonts w:ascii="Times New Roman" w:hAnsi="Times New Roman" w:cs="Times New Roman"/>
          <w:color w:val="FF0000"/>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3" w:name="P66"/>
      <w:bookmarkEnd w:id="3"/>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4" w:name="P74"/>
      <w:bookmarkEnd w:id="4"/>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lastRenderedPageBreak/>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т обратившихся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lastRenderedPageBreak/>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
    <w:p w:rsidR="00B165AC" w:rsidRDefault="002245CF" w:rsidP="00B165AC">
      <w:pPr>
        <w:pStyle w:val="ConsPlusNormal"/>
        <w:ind w:firstLine="540"/>
        <w:jc w:val="both"/>
        <w:rPr>
          <w:rFonts w:ascii="Times New Roman" w:hAnsi="Times New Roman" w:cs="Times New Roman"/>
          <w:sz w:val="28"/>
          <w:szCs w:val="28"/>
        </w:rPr>
      </w:pPr>
      <w:bookmarkStart w:id="5" w:name="P93"/>
      <w:bookmarkEnd w:id="5"/>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размещена на:</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информационных стендах</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сайте</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ⅠⅠ</w:t>
      </w:r>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6" w:name="P151"/>
      <w:bookmarkEnd w:id="6"/>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156"/>
      <w:bookmarkEnd w:id="7"/>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r w:rsidR="000124BB">
        <w:rPr>
          <w:rFonts w:ascii="Times New Roman" w:hAnsi="Times New Roman" w:cs="Times New Roman"/>
          <w:color w:val="000000" w:themeColor="text1"/>
          <w:sz w:val="28"/>
          <w:szCs w:val="28"/>
        </w:rPr>
        <w:t>–К</w:t>
      </w:r>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взаимодействует с:</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управляющими компаниями, товариществами собственников жилья, жилищно-строительные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lastRenderedPageBreak/>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являющихся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lastRenderedPageBreak/>
        <w:t xml:space="preserve">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межведомственных запросов)</w:t>
      </w:r>
      <w:r w:rsidRPr="00376847">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8" w:name="P209"/>
      <w:bookmarkEnd w:id="8"/>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9" w:name="P214"/>
      <w:bookmarkEnd w:id="9"/>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 xml:space="preserve">при достижении им (ими) </w:t>
      </w:r>
      <w:r w:rsidRPr="00254672">
        <w:rPr>
          <w:rFonts w:ascii="Times New Roman" w:hAnsi="Times New Roman" w:cs="Times New Roman"/>
          <w:sz w:val="28"/>
          <w:szCs w:val="28"/>
        </w:rPr>
        <w:lastRenderedPageBreak/>
        <w:t>возраста 14 лет</w:t>
      </w:r>
      <w:r w:rsidRPr="00254672">
        <w:rPr>
          <w:rFonts w:ascii="Times New Roman" w:hAnsi="Times New Roman" w:cs="Times New Roman"/>
          <w:color w:val="000000" w:themeColor="text1"/>
          <w:sz w:val="28"/>
          <w:szCs w:val="28"/>
        </w:rPr>
        <w:t xml:space="preserve"> (при их наличии));</w:t>
      </w:r>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6"/>
      <w:bookmarkEnd w:id="10"/>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1" w:name="P227"/>
      <w:bookmarkEnd w:id="11"/>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2" w:name="P229"/>
      <w:bookmarkEnd w:id="12"/>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медико-социальной экспертизы (в случае отсутствия сведений об инвалидности в федеральной </w:t>
      </w:r>
      <w:r w:rsidRPr="00DA1DD5">
        <w:rPr>
          <w:rFonts w:ascii="Times New Roman" w:hAnsi="Times New Roman" w:cs="Times New Roman"/>
          <w:sz w:val="28"/>
          <w:szCs w:val="28"/>
        </w:rPr>
        <w:lastRenderedPageBreak/>
        <w:t>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  для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 xml:space="preserve">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lastRenderedPageBreak/>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самоуправления и иных организаций и которые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числе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3" w:name="P250"/>
      <w:bookmarkEnd w:id="13"/>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в) справка, выданная органом местного самоуправления по месту жительства, о реализации заявителем и членами его семьи (супругом </w:t>
      </w:r>
      <w:r w:rsidRPr="00AD24AC">
        <w:rPr>
          <w:rFonts w:ascii="Times New Roman" w:hAnsi="Times New Roman" w:cs="Times New Roman"/>
          <w:color w:val="000000" w:themeColor="text1"/>
          <w:sz w:val="28"/>
          <w:szCs w:val="28"/>
        </w:rPr>
        <w:lastRenderedPageBreak/>
        <w:t>(супругой),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24"/>
      <w:bookmarkEnd w:id="14"/>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38"/>
      <w:bookmarkEnd w:id="15"/>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4) для граждан, имеющих несовершеннолетнего ребенка-инвалида                           и нуждающихся в жилых помещениях на основаниях, предусмотренных </w:t>
      </w:r>
      <w:r w:rsidRPr="00AD24AC">
        <w:rPr>
          <w:rFonts w:ascii="Times New Roman" w:hAnsi="Times New Roman" w:cs="Times New Roman"/>
          <w:color w:val="000000" w:themeColor="text1"/>
          <w:sz w:val="28"/>
          <w:szCs w:val="28"/>
        </w:rPr>
        <w:lastRenderedPageBreak/>
        <w:t>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6" w:name="P366"/>
      <w:bookmarkEnd w:id="16"/>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lastRenderedPageBreak/>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 xml:space="preserve">Представления документов и информации, отсутствие и (или) </w:t>
      </w:r>
      <w:r w:rsidR="003F4143" w:rsidRPr="00E10434">
        <w:rPr>
          <w:rFonts w:ascii="Times New Roman" w:hAnsi="Times New Roman" w:cs="Times New Roman"/>
          <w:sz w:val="28"/>
          <w:szCs w:val="28"/>
        </w:rPr>
        <w:lastRenderedPageBreak/>
        <w:t>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r w:rsidR="00EA33C9">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r w:rsidR="00E860B4" w:rsidRPr="00587C14">
        <w:rPr>
          <w:rFonts w:ascii="Times New Roman" w:hAnsi="Times New Roman"/>
          <w:sz w:val="28"/>
          <w:szCs w:val="28"/>
        </w:rPr>
        <w:t>неустановление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(непредъявление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неустановление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2.13.6. предоставление в электронной форме документы содержат </w:t>
      </w:r>
      <w:r>
        <w:rPr>
          <w:rFonts w:ascii="Times New Roman" w:hAnsi="Times New Roman" w:cs="Times New Roman"/>
          <w:bCs/>
          <w:sz w:val="28"/>
          <w:szCs w:val="28"/>
        </w:rPr>
        <w:lastRenderedPageBreak/>
        <w:t>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7" w:name="P302"/>
      <w:bookmarkEnd w:id="17"/>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0"/>
      <w:bookmarkEnd w:id="18"/>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9" w:name="P241"/>
      <w:bookmarkEnd w:id="19"/>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r w:rsidRPr="004B3A8C">
        <w:rPr>
          <w:rFonts w:ascii="Times New Roman" w:hAnsi="Times New Roman" w:cs="Times New Roman"/>
          <w:sz w:val="28"/>
          <w:szCs w:val="28"/>
        </w:rPr>
        <w:t xml:space="preserve">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 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w:t>
      </w:r>
      <w:r w:rsidRPr="004B3A8C">
        <w:rPr>
          <w:rFonts w:ascii="Times New Roman" w:hAnsi="Times New Roman" w:cs="Times New Roman"/>
          <w:sz w:val="28"/>
          <w:szCs w:val="28"/>
        </w:rPr>
        <w:lastRenderedPageBreak/>
        <w:t>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обязательными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(выдаваемых)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w:t>
      </w:r>
      <w:r w:rsidRPr="0099663A">
        <w:rPr>
          <w:rFonts w:ascii="Times New Roman" w:hAnsi="Times New Roman" w:cs="Times New Roman"/>
          <w:color w:val="000000"/>
          <w:sz w:val="28"/>
          <w:szCs w:val="28"/>
        </w:rPr>
        <w:lastRenderedPageBreak/>
        <w:t>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сурдопереводчика и тифлосурдопереводчика;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lastRenderedPageBreak/>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экстерриториальному</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w:t>
      </w:r>
      <w:r>
        <w:rPr>
          <w:rFonts w:ascii="Times New Roman" w:hAnsi="Times New Roman" w:cs="Times New Roman"/>
          <w:color w:val="000000" w:themeColor="text1"/>
          <w:sz w:val="28"/>
          <w:szCs w:val="28"/>
        </w:rPr>
        <w:lastRenderedPageBreak/>
        <w:t xml:space="preserve">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ⅠⅠⅠ</w:t>
      </w:r>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xml:space="preserve">, после заполнения заявителем каждого из полей электронной </w:t>
      </w:r>
      <w:r w:rsidRPr="002F50F8">
        <w:rPr>
          <w:rFonts w:ascii="Times New Roman" w:eastAsia="Calibri" w:hAnsi="Times New Roman" w:cs="Times New Roman"/>
          <w:color w:val="000000" w:themeColor="text1"/>
          <w:sz w:val="28"/>
          <w:szCs w:val="28"/>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lastRenderedPageBreak/>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w:t>
      </w:r>
      <w:r w:rsidRPr="005C09BC">
        <w:rPr>
          <w:rFonts w:ascii="Times New Roman" w:hAnsi="Times New Roman" w:cs="Times New Roman"/>
          <w:sz w:val="28"/>
          <w:szCs w:val="28"/>
        </w:rPr>
        <w:lastRenderedPageBreak/>
        <w:t xml:space="preserve">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xml:space="preserve">) реквизиты документа (-ов), обосновывающих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24007F"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ⅠⅤ</w:t>
      </w:r>
      <w:r w:rsidR="005E3C2E" w:rsidRPr="002F50F8">
        <w:rPr>
          <w:rFonts w:ascii="Times New Roman" w:eastAsia="Calibri" w:hAnsi="Times New Roman" w:cs="Times New Roman"/>
          <w:b/>
          <w:color w:val="000000" w:themeColor="text1"/>
          <w:sz w:val="28"/>
          <w:szCs w:val="28"/>
        </w:rPr>
        <w:t xml:space="preserve">. Формы контроля за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lastRenderedPageBreak/>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ⅤⅠ</w:t>
      </w:r>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 xml:space="preserve">муниципальной услуги на </w:t>
      </w:r>
      <w:r w:rsidR="00FD0638">
        <w:rPr>
          <w:rFonts w:ascii="Times New Roman" w:hAnsi="Times New Roman" w:cs="Times New Roman"/>
          <w:sz w:val="28"/>
          <w:szCs w:val="28"/>
        </w:rPr>
        <w:lastRenderedPageBreak/>
        <w:t>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r w:rsidR="00311B6C" w:rsidRPr="00311B6C">
        <w:rPr>
          <w:rFonts w:ascii="Times New Roman" w:eastAsia="Calibri" w:hAnsi="Times New Roman" w:cs="Times New Roman"/>
          <w:b/>
          <w:color w:val="000000" w:themeColor="text1"/>
          <w:sz w:val="28"/>
          <w:szCs w:val="28"/>
        </w:rPr>
        <w:t>муниципальной</w:t>
      </w: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ных услуг заявителю предлагается получить мультиталон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снимает скан-копии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w:t>
      </w:r>
      <w:r w:rsidRPr="002F50F8">
        <w:rPr>
          <w:rFonts w:ascii="Times New Roman" w:eastAsia="Calibri" w:hAnsi="Times New Roman" w:cs="Times New Roman"/>
          <w:color w:val="000000" w:themeColor="text1"/>
          <w:sz w:val="28"/>
          <w:szCs w:val="28"/>
        </w:rPr>
        <w:lastRenderedPageBreak/>
        <w:t>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запрашивает согласие заявителя (представителя заявителя) на участие в </w:t>
      </w:r>
      <w:r w:rsidRPr="002F50F8">
        <w:rPr>
          <w:rFonts w:ascii="Times New Roman" w:eastAsia="Calibri" w:hAnsi="Times New Roman" w:cs="Times New Roman"/>
          <w:color w:val="000000" w:themeColor="text1"/>
          <w:sz w:val="28"/>
          <w:szCs w:val="28"/>
        </w:rPr>
        <w:lastRenderedPageBreak/>
        <w:t>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r w:rsidRPr="001B74A5">
        <w:rPr>
          <w:rFonts w:ascii="Times New Roman" w:hAnsi="Times New Roman" w:cs="Times New Roman"/>
          <w:color w:val="000000" w:themeColor="text1"/>
          <w:sz w:val="16"/>
          <w:szCs w:val="16"/>
        </w:rPr>
        <w:t>проживающего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системе индивидуального</w:t>
      </w:r>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20" w:name="P993"/>
      <w:bookmarkEnd w:id="20"/>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Зарегистрирован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lastRenderedPageBreak/>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 )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1" w:name="P1044"/>
      <w:bookmarkEnd w:id="21"/>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(последнее -при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с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 xml:space="preserve">окумента(-ов),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1"/>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r>
              <w:rPr>
                <w:spacing w:val="-2"/>
                <w:sz w:val="24"/>
              </w:rPr>
              <w:t>Содержание</w:t>
            </w:r>
          </w:p>
          <w:p w:rsidR="00F424A4" w:rsidRDefault="00F424A4" w:rsidP="00E67C1C">
            <w:pPr>
              <w:pStyle w:val="TableParagraph"/>
              <w:ind w:left="578" w:right="571"/>
              <w:jc w:val="center"/>
              <w:rPr>
                <w:sz w:val="24"/>
              </w:rPr>
            </w:pPr>
            <w:r>
              <w:rPr>
                <w:spacing w:val="-2"/>
                <w:sz w:val="24"/>
              </w:rPr>
              <w:t>административных действий</w:t>
            </w:r>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r>
              <w:rPr>
                <w:sz w:val="24"/>
              </w:rPr>
              <w:t>Критерии</w:t>
            </w:r>
            <w:r>
              <w:rPr>
                <w:spacing w:val="-15"/>
                <w:sz w:val="24"/>
              </w:rPr>
              <w:t xml:space="preserve"> </w:t>
            </w:r>
            <w:r>
              <w:rPr>
                <w:sz w:val="24"/>
              </w:rPr>
              <w:t xml:space="preserve">принятия </w:t>
            </w:r>
            <w:r>
              <w:rPr>
                <w:spacing w:val="-2"/>
                <w:sz w:val="24"/>
              </w:rPr>
              <w:t>решения</w:t>
            </w:r>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r>
              <w:rPr>
                <w:spacing w:val="-2"/>
                <w:sz w:val="24"/>
              </w:rPr>
              <w:t>Поступление</w:t>
            </w:r>
          </w:p>
        </w:tc>
        <w:tc>
          <w:tcPr>
            <w:tcW w:w="2959" w:type="dxa"/>
            <w:tcBorders>
              <w:bottom w:val="nil"/>
            </w:tcBorders>
          </w:tcPr>
          <w:p w:rsidR="00F424A4" w:rsidRDefault="00F424A4" w:rsidP="00E67C1C">
            <w:pPr>
              <w:pStyle w:val="TableParagraph"/>
              <w:spacing w:line="254" w:lineRule="exact"/>
              <w:ind w:left="146"/>
              <w:rPr>
                <w:sz w:val="24"/>
              </w:rPr>
            </w:pPr>
            <w:r>
              <w:rPr>
                <w:sz w:val="24"/>
              </w:rPr>
              <w:t>Прием</w:t>
            </w:r>
            <w:r>
              <w:rPr>
                <w:spacing w:val="-1"/>
                <w:sz w:val="24"/>
              </w:rPr>
              <w:t xml:space="preserve"> </w:t>
            </w:r>
            <w:r>
              <w:rPr>
                <w:sz w:val="24"/>
              </w:rPr>
              <w:t>и</w:t>
            </w:r>
            <w:r>
              <w:rPr>
                <w:spacing w:val="4"/>
                <w:sz w:val="24"/>
              </w:rPr>
              <w:t xml:space="preserve"> </w:t>
            </w:r>
            <w:r>
              <w:rPr>
                <w:spacing w:val="-2"/>
                <w:sz w:val="24"/>
              </w:rPr>
              <w:t>регистрация</w:t>
            </w:r>
          </w:p>
        </w:tc>
        <w:tc>
          <w:tcPr>
            <w:tcW w:w="2569" w:type="dxa"/>
            <w:tcBorders>
              <w:bottom w:val="nil"/>
            </w:tcBorders>
          </w:tcPr>
          <w:p w:rsidR="00F424A4" w:rsidRDefault="00F424A4" w:rsidP="00E67C1C">
            <w:pPr>
              <w:pStyle w:val="TableParagraph"/>
              <w:spacing w:line="254" w:lineRule="exact"/>
              <w:ind w:left="143"/>
              <w:rPr>
                <w:sz w:val="24"/>
              </w:rPr>
            </w:pPr>
            <w:r>
              <w:rPr>
                <w:sz w:val="24"/>
              </w:rPr>
              <w:t>1 рабочий</w:t>
            </w:r>
            <w:r>
              <w:rPr>
                <w:spacing w:val="2"/>
                <w:sz w:val="24"/>
              </w:rPr>
              <w:t xml:space="preserve"> </w:t>
            </w:r>
            <w:r>
              <w:rPr>
                <w:spacing w:val="-4"/>
                <w:sz w:val="24"/>
              </w:rPr>
              <w:t>день</w:t>
            </w:r>
          </w:p>
        </w:tc>
        <w:tc>
          <w:tcPr>
            <w:tcW w:w="1827" w:type="dxa"/>
            <w:tcBorders>
              <w:bottom w:val="nil"/>
            </w:tcBorders>
          </w:tcPr>
          <w:p w:rsidR="00F424A4" w:rsidRDefault="00F424A4" w:rsidP="00E67C1C">
            <w:pPr>
              <w:pStyle w:val="TableParagraph"/>
              <w:spacing w:line="254" w:lineRule="exact"/>
              <w:ind w:left="145"/>
              <w:rPr>
                <w:sz w:val="24"/>
              </w:rPr>
            </w:pPr>
            <w:r>
              <w:rPr>
                <w:sz w:val="24"/>
              </w:rPr>
              <w:t>Должностное</w:t>
            </w:r>
            <w:r>
              <w:rPr>
                <w:spacing w:val="2"/>
                <w:sz w:val="24"/>
              </w:rPr>
              <w:t xml:space="preserve"> </w:t>
            </w:r>
            <w:r>
              <w:rPr>
                <w:spacing w:val="-4"/>
                <w:sz w:val="24"/>
              </w:rPr>
              <w:t>лицо</w:t>
            </w:r>
          </w:p>
        </w:tc>
        <w:tc>
          <w:tcPr>
            <w:tcW w:w="2552" w:type="dxa"/>
            <w:tcBorders>
              <w:bottom w:val="nil"/>
            </w:tcBorders>
          </w:tcPr>
          <w:p w:rsidR="00F424A4" w:rsidRDefault="00F424A4" w:rsidP="00E67C1C">
            <w:pPr>
              <w:pStyle w:val="TableParagraph"/>
              <w:spacing w:line="254" w:lineRule="exact"/>
              <w:ind w:left="142"/>
              <w:rPr>
                <w:sz w:val="24"/>
              </w:rPr>
            </w:pPr>
            <w:r>
              <w:rPr>
                <w:spacing w:val="-2"/>
                <w:sz w:val="24"/>
              </w:rPr>
              <w:t>Наличие/отсутствие</w:t>
            </w:r>
          </w:p>
        </w:tc>
        <w:tc>
          <w:tcPr>
            <w:tcW w:w="3260" w:type="dxa"/>
            <w:tcBorders>
              <w:bottom w:val="nil"/>
            </w:tcBorders>
          </w:tcPr>
          <w:p w:rsidR="00F424A4" w:rsidRPr="008B01A4" w:rsidRDefault="00F424A4" w:rsidP="00E67C1C">
            <w:pPr>
              <w:pStyle w:val="TableParagraph"/>
              <w:spacing w:line="254" w:lineRule="exact"/>
              <w:ind w:left="141"/>
              <w:rPr>
                <w:sz w:val="24"/>
                <w:lang w:val="ru-RU"/>
              </w:rPr>
            </w:pPr>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заявления</w:t>
            </w:r>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документов</w:t>
            </w:r>
            <w:r>
              <w:rPr>
                <w:spacing w:val="1"/>
                <w:sz w:val="24"/>
              </w:rPr>
              <w:t xml:space="preserve"> </w:t>
            </w:r>
            <w:r>
              <w:rPr>
                <w:sz w:val="24"/>
              </w:rPr>
              <w:t>(в</w:t>
            </w:r>
            <w:r>
              <w:rPr>
                <w:spacing w:val="1"/>
                <w:sz w:val="24"/>
              </w:rPr>
              <w:t xml:space="preserve"> </w:t>
            </w:r>
            <w:r>
              <w:rPr>
                <w:sz w:val="24"/>
              </w:rPr>
              <w:t>том</w:t>
            </w:r>
            <w:r>
              <w:rPr>
                <w:spacing w:val="4"/>
                <w:sz w:val="24"/>
              </w:rPr>
              <w:t xml:space="preserve"> </w:t>
            </w:r>
            <w:r>
              <w:rPr>
                <w:spacing w:val="-4"/>
                <w:sz w:val="24"/>
              </w:rPr>
              <w:t>числе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r>
              <w:rPr>
                <w:spacing w:val="-2"/>
                <w:sz w:val="24"/>
                <w:lang w:val="ru-RU"/>
              </w:rPr>
              <w:t>Администраци</w:t>
            </w:r>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оснований,</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поступлении</w:t>
            </w:r>
            <w:r>
              <w:rPr>
                <w:spacing w:val="3"/>
                <w:sz w:val="24"/>
              </w:rPr>
              <w:t xml:space="preserve"> </w:t>
            </w:r>
            <w:r>
              <w:rPr>
                <w:spacing w:val="-2"/>
                <w:sz w:val="24"/>
              </w:rPr>
              <w:t>заявления</w:t>
            </w:r>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r>
              <w:rPr>
                <w:spacing w:val="-2"/>
                <w:sz w:val="24"/>
              </w:rPr>
              <w:t>предоставлении</w:t>
            </w:r>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r>
              <w:rPr>
                <w:sz w:val="24"/>
              </w:rPr>
              <w:t>поступивших</w:t>
            </w:r>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z w:val="24"/>
              </w:rPr>
              <w:t>ответственное</w:t>
            </w:r>
            <w:r>
              <w:rPr>
                <w:spacing w:val="5"/>
                <w:sz w:val="24"/>
              </w:rPr>
              <w:t xml:space="preserve"> </w:t>
            </w:r>
            <w:r>
              <w:rPr>
                <w:spacing w:val="-5"/>
                <w:sz w:val="24"/>
              </w:rPr>
              <w:t>за</w:t>
            </w: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предусмотренных</w:t>
            </w:r>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r>
              <w:rPr>
                <w:spacing w:val="-2"/>
                <w:sz w:val="24"/>
                <w:lang w:val="ru-RU"/>
              </w:rPr>
              <w:t>муниципально</w:t>
            </w:r>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r>
              <w:rPr>
                <w:spacing w:val="-4"/>
                <w:sz w:val="24"/>
              </w:rPr>
              <w:t>через</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z w:val="24"/>
              </w:rPr>
              <w:t xml:space="preserve">прием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r>
              <w:rPr>
                <w:sz w:val="24"/>
              </w:rPr>
              <w:t>пункт</w:t>
            </w:r>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заявителю</w:t>
            </w:r>
            <w:r>
              <w:rPr>
                <w:spacing w:val="4"/>
                <w:sz w:val="24"/>
              </w:rPr>
              <w:t xml:space="preserve"> </w:t>
            </w:r>
            <w:r>
              <w:rPr>
                <w:spacing w:val="-2"/>
                <w:sz w:val="24"/>
              </w:rPr>
              <w:t>электронного</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услуги</w:t>
            </w:r>
            <w:r>
              <w:rPr>
                <w:spacing w:val="3"/>
                <w:sz w:val="24"/>
              </w:rPr>
              <w:t xml:space="preserve"> </w:t>
            </w:r>
            <w:r>
              <w:rPr>
                <w:sz w:val="24"/>
              </w:rPr>
              <w:t>(далее</w:t>
            </w:r>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r>
              <w:rPr>
                <w:spacing w:val="-2"/>
                <w:sz w:val="24"/>
              </w:rPr>
              <w:t>Республиканское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pacing w:val="-2"/>
                <w:sz w:val="24"/>
              </w:rPr>
              <w:t>регистрацию</w:t>
            </w:r>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сообщения</w:t>
            </w:r>
            <w:r>
              <w:rPr>
                <w:spacing w:val="3"/>
                <w:sz w:val="24"/>
              </w:rPr>
              <w:t xml:space="preserve"> </w:t>
            </w:r>
            <w:r>
              <w:rPr>
                <w:sz w:val="24"/>
              </w:rPr>
              <w:t>о</w:t>
            </w:r>
            <w:r>
              <w:rPr>
                <w:spacing w:val="3"/>
                <w:sz w:val="24"/>
              </w:rPr>
              <w:t xml:space="preserve"> </w:t>
            </w:r>
            <w:r>
              <w:rPr>
                <w:spacing w:val="-2"/>
                <w:sz w:val="24"/>
              </w:rPr>
              <w:t>приеме</w:t>
            </w:r>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заявление)</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r>
              <w:rPr>
                <w:spacing w:val="-2"/>
                <w:sz w:val="24"/>
              </w:rPr>
              <w:t>государственное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r>
              <w:rPr>
                <w:spacing w:val="-2"/>
                <w:sz w:val="24"/>
              </w:rPr>
              <w:t>документов</w:t>
            </w: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Административного</w:t>
            </w:r>
          </w:p>
        </w:tc>
        <w:tc>
          <w:tcPr>
            <w:tcW w:w="3260" w:type="dxa"/>
            <w:tcBorders>
              <w:top w:val="nil"/>
              <w:bottom w:val="nil"/>
            </w:tcBorders>
          </w:tcPr>
          <w:p w:rsidR="00F424A4" w:rsidRDefault="00F424A4" w:rsidP="00E67C1C">
            <w:pPr>
              <w:pStyle w:val="TableParagraph"/>
              <w:spacing w:line="256" w:lineRule="exact"/>
              <w:ind w:left="141"/>
              <w:rPr>
                <w:sz w:val="24"/>
              </w:rPr>
            </w:pPr>
            <w:r>
              <w:rPr>
                <w:spacing w:val="-2"/>
                <w:sz w:val="24"/>
              </w:rPr>
              <w:t>запроса);</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r>
              <w:rPr>
                <w:sz w:val="24"/>
              </w:rPr>
              <w:t>документов</w:t>
            </w:r>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автономное</w:t>
            </w:r>
            <w:r>
              <w:rPr>
                <w:spacing w:val="8"/>
                <w:sz w:val="24"/>
              </w:rPr>
              <w:t xml:space="preserve"> </w:t>
            </w:r>
            <w:r>
              <w:rPr>
                <w:spacing w:val="-2"/>
                <w:sz w:val="24"/>
              </w:rPr>
              <w:t>учреждение</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pacing w:val="-2"/>
                <w:sz w:val="24"/>
              </w:rPr>
              <w:t>регламента</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регистрация</w:t>
            </w:r>
            <w:r>
              <w:rPr>
                <w:spacing w:val="5"/>
                <w:sz w:val="24"/>
              </w:rPr>
              <w:t xml:space="preserve"> </w:t>
            </w:r>
            <w:r>
              <w:rPr>
                <w:sz w:val="24"/>
              </w:rPr>
              <w:t>заявления</w:t>
            </w:r>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r>
              <w:rPr>
                <w:spacing w:val="-2"/>
                <w:sz w:val="24"/>
              </w:rPr>
              <w:t>Многофункциональный</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«Постановка</w:t>
            </w:r>
            <w:r>
              <w:rPr>
                <w:spacing w:val="6"/>
                <w:sz w:val="24"/>
              </w:rPr>
              <w:t xml:space="preserve"> </w:t>
            </w:r>
            <w:r>
              <w:rPr>
                <w:spacing w:val="-2"/>
                <w:sz w:val="24"/>
              </w:rPr>
              <w:t>граждан</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системе</w:t>
            </w:r>
            <w:r>
              <w:rPr>
                <w:spacing w:val="2"/>
                <w:sz w:val="24"/>
              </w:rPr>
              <w:t xml:space="preserve"> </w:t>
            </w:r>
            <w:r>
              <w:rPr>
                <w:spacing w:val="-2"/>
                <w:sz w:val="24"/>
              </w:rPr>
              <w:t>делопроизводства</w:t>
            </w:r>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r>
              <w:rPr>
                <w:sz w:val="24"/>
              </w:rPr>
              <w:t>центр</w:t>
            </w:r>
            <w:r>
              <w:rPr>
                <w:spacing w:val="1"/>
                <w:sz w:val="24"/>
              </w:rPr>
              <w:t xml:space="preserve"> </w:t>
            </w:r>
            <w:r>
              <w:rPr>
                <w:spacing w:val="-2"/>
                <w:sz w:val="24"/>
              </w:rPr>
              <w:t>предоставления</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r>
              <w:rPr>
                <w:sz w:val="24"/>
              </w:rPr>
              <w:t>на</w:t>
            </w:r>
            <w:r>
              <w:rPr>
                <w:spacing w:val="1"/>
                <w:sz w:val="24"/>
              </w:rPr>
              <w:t xml:space="preserve"> </w:t>
            </w:r>
            <w:r>
              <w:rPr>
                <w:sz w:val="24"/>
              </w:rPr>
              <w:t>учет</w:t>
            </w:r>
            <w:r>
              <w:rPr>
                <w:spacing w:val="1"/>
                <w:sz w:val="24"/>
              </w:rPr>
              <w:t xml:space="preserve"> </w:t>
            </w:r>
            <w:r>
              <w:rPr>
                <w:sz w:val="24"/>
              </w:rPr>
              <w:t>в</w:t>
            </w:r>
            <w:r>
              <w:rPr>
                <w:spacing w:val="1"/>
                <w:sz w:val="24"/>
              </w:rPr>
              <w:t xml:space="preserve"> </w:t>
            </w:r>
            <w:r>
              <w:rPr>
                <w:spacing w:val="-2"/>
                <w:sz w:val="24"/>
              </w:rPr>
              <w:t>качестве</w:t>
            </w:r>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(присвоение</w:t>
            </w:r>
            <w:r>
              <w:rPr>
                <w:spacing w:val="3"/>
                <w:sz w:val="24"/>
              </w:rPr>
              <w:t xml:space="preserve"> </w:t>
            </w:r>
            <w:r>
              <w:rPr>
                <w:sz w:val="24"/>
              </w:rPr>
              <w:t>номера</w:t>
            </w:r>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государственных</w:t>
            </w:r>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лиц,</w:t>
            </w:r>
            <w:r>
              <w:rPr>
                <w:spacing w:val="-1"/>
                <w:sz w:val="24"/>
              </w:rPr>
              <w:t xml:space="preserve"> </w:t>
            </w:r>
            <w:r>
              <w:rPr>
                <w:sz w:val="24"/>
              </w:rPr>
              <w:t>имеющих</w:t>
            </w:r>
            <w:r>
              <w:rPr>
                <w:spacing w:val="5"/>
                <w:sz w:val="24"/>
              </w:rPr>
              <w:t xml:space="preserve"> </w:t>
            </w:r>
            <w:r>
              <w:rPr>
                <w:spacing w:val="-4"/>
                <w:sz w:val="24"/>
              </w:rPr>
              <w:t>право</w:t>
            </w:r>
          </w:p>
        </w:tc>
        <w:tc>
          <w:tcPr>
            <w:tcW w:w="3260" w:type="dxa"/>
            <w:tcBorders>
              <w:top w:val="nil"/>
              <w:bottom w:val="nil"/>
            </w:tcBorders>
          </w:tcPr>
          <w:p w:rsidR="00F424A4" w:rsidRDefault="00F424A4" w:rsidP="00E67C1C">
            <w:pPr>
              <w:pStyle w:val="TableParagraph"/>
              <w:spacing w:line="256" w:lineRule="exact"/>
              <w:ind w:left="141"/>
              <w:rPr>
                <w:sz w:val="24"/>
              </w:rPr>
            </w:pPr>
            <w:r>
              <w:rPr>
                <w:spacing w:val="-2"/>
                <w:sz w:val="24"/>
              </w:rPr>
              <w:t>датирование);</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r>
              <w:rPr>
                <w:spacing w:val="-2"/>
                <w:sz w:val="24"/>
                <w:lang w:val="ru-RU"/>
              </w:rPr>
              <w:t xml:space="preserve">( далее ‒ </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муниципальных</w:t>
            </w:r>
            <w:r>
              <w:rPr>
                <w:spacing w:val="8"/>
                <w:sz w:val="24"/>
              </w:rPr>
              <w:t xml:space="preserve"> </w:t>
            </w:r>
            <w:r>
              <w:rPr>
                <w:spacing w:val="-4"/>
                <w:sz w:val="24"/>
              </w:rPr>
              <w:t>услуг</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на</w:t>
            </w:r>
            <w:r>
              <w:rPr>
                <w:spacing w:val="-1"/>
                <w:sz w:val="24"/>
              </w:rPr>
              <w:t xml:space="preserve"> </w:t>
            </w:r>
            <w:r>
              <w:rPr>
                <w:spacing w:val="-2"/>
                <w:sz w:val="24"/>
              </w:rPr>
              <w:t>предоставление</w:t>
            </w:r>
          </w:p>
        </w:tc>
        <w:tc>
          <w:tcPr>
            <w:tcW w:w="3260" w:type="dxa"/>
            <w:tcBorders>
              <w:top w:val="nil"/>
              <w:bottom w:val="nil"/>
            </w:tcBorders>
          </w:tcPr>
          <w:p w:rsidR="00F424A4" w:rsidRDefault="00F424A4" w:rsidP="00E67C1C">
            <w:pPr>
              <w:pStyle w:val="TableParagraph"/>
              <w:spacing w:line="256" w:lineRule="exact"/>
              <w:ind w:left="141"/>
              <w:rPr>
                <w:sz w:val="24"/>
              </w:rPr>
            </w:pPr>
            <w:r>
              <w:rPr>
                <w:sz w:val="24"/>
              </w:rPr>
              <w:t>назначение</w:t>
            </w:r>
            <w:r>
              <w:rPr>
                <w:spacing w:val="3"/>
                <w:sz w:val="24"/>
              </w:rPr>
              <w:t xml:space="preserve"> </w:t>
            </w:r>
            <w:r>
              <w:rPr>
                <w:spacing w:val="-2"/>
                <w:sz w:val="24"/>
              </w:rPr>
              <w:t>должностного</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Администарция)</w:t>
            </w:r>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(далее</w:t>
            </w:r>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земельных</w:t>
            </w:r>
            <w:r>
              <w:rPr>
                <w:spacing w:val="5"/>
                <w:sz w:val="24"/>
              </w:rPr>
              <w:t xml:space="preserve"> </w:t>
            </w:r>
            <w:r>
              <w:rPr>
                <w:spacing w:val="-2"/>
                <w:sz w:val="24"/>
              </w:rPr>
              <w:t>участков</w:t>
            </w:r>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r>
              <w:rPr>
                <w:sz w:val="24"/>
              </w:rPr>
              <w:t xml:space="preserve">лица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r>
              <w:rPr>
                <w:spacing w:val="-2"/>
                <w:sz w:val="24"/>
              </w:rPr>
              <w:t>собственность</w:t>
            </w:r>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(далее</w:t>
            </w:r>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бесплатно</w:t>
            </w:r>
            <w:r>
              <w:rPr>
                <w:spacing w:val="3"/>
                <w:sz w:val="24"/>
              </w:rPr>
              <w:t xml:space="preserve"> </w:t>
            </w:r>
            <w:r>
              <w:rPr>
                <w:spacing w:val="-5"/>
                <w:sz w:val="24"/>
              </w:rPr>
              <w:t>для</w:t>
            </w:r>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лицо,</w:t>
            </w:r>
            <w:r>
              <w:rPr>
                <w:spacing w:val="5"/>
                <w:sz w:val="24"/>
              </w:rPr>
              <w:t xml:space="preserve"> </w:t>
            </w:r>
            <w:r>
              <w:rPr>
                <w:sz w:val="24"/>
              </w:rPr>
              <w:t>ответственное</w:t>
            </w:r>
            <w:r>
              <w:rPr>
                <w:spacing w:val="2"/>
                <w:sz w:val="24"/>
              </w:rPr>
              <w:t xml:space="preserve"> </w:t>
            </w:r>
            <w:r>
              <w:rPr>
                <w:spacing w:val="-5"/>
                <w:sz w:val="24"/>
              </w:rPr>
              <w:t>за</w:t>
            </w:r>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pacing w:val="-2"/>
                <w:sz w:val="24"/>
              </w:rPr>
              <w:t>индивидуального</w:t>
            </w:r>
          </w:p>
        </w:tc>
        <w:tc>
          <w:tcPr>
            <w:tcW w:w="3260" w:type="dxa"/>
            <w:tcBorders>
              <w:top w:val="nil"/>
              <w:bottom w:val="nil"/>
            </w:tcBorders>
          </w:tcPr>
          <w:p w:rsidR="00520F30" w:rsidRDefault="00520F30" w:rsidP="00520F30">
            <w:pPr>
              <w:pStyle w:val="TableParagraph"/>
              <w:spacing w:line="256" w:lineRule="exact"/>
              <w:ind w:left="141"/>
              <w:rPr>
                <w:sz w:val="24"/>
              </w:rPr>
            </w:pPr>
            <w:r>
              <w:rPr>
                <w:spacing w:val="-2"/>
                <w:sz w:val="24"/>
              </w:rPr>
              <w:t>предоставление</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pacing w:val="-2"/>
                <w:sz w:val="24"/>
              </w:rPr>
              <w:t>жилищного</w:t>
            </w:r>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r>
              <w:rPr>
                <w:spacing w:val="-2"/>
                <w:sz w:val="24"/>
              </w:rPr>
              <w:t>услуги</w:t>
            </w:r>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pacing w:val="-2"/>
                <w:sz w:val="24"/>
              </w:rPr>
              <w:t>строительства»</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r>
              <w:rPr>
                <w:sz w:val="24"/>
              </w:rPr>
              <w:t>передача</w:t>
            </w:r>
            <w:r>
              <w:rPr>
                <w:spacing w:val="7"/>
                <w:sz w:val="24"/>
              </w:rPr>
              <w:t xml:space="preserve"> </w:t>
            </w:r>
            <w:r>
              <w:rPr>
                <w:spacing w:val="-5"/>
                <w:sz w:val="24"/>
              </w:rPr>
              <w:t>ему</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(далее</w:t>
            </w:r>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r>
              <w:rPr>
                <w:spacing w:val="-2"/>
                <w:sz w:val="24"/>
              </w:rPr>
              <w:t>документов;</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r>
              <w:rPr>
                <w:spacing w:val="-2"/>
                <w:sz w:val="24"/>
              </w:rPr>
              <w:t>Административный</w:t>
            </w:r>
            <w:r>
              <w:rPr>
                <w:spacing w:val="-2"/>
                <w:sz w:val="24"/>
                <w:lang w:val="ru-RU"/>
              </w:rPr>
              <w:t xml:space="preserve"> </w:t>
            </w:r>
            <w:r>
              <w:rPr>
                <w:spacing w:val="-2"/>
                <w:sz w:val="24"/>
              </w:rPr>
              <w:t>регламент)</w:t>
            </w:r>
          </w:p>
        </w:tc>
        <w:tc>
          <w:tcPr>
            <w:tcW w:w="3260" w:type="dxa"/>
            <w:tcBorders>
              <w:top w:val="nil"/>
              <w:bottom w:val="nil"/>
            </w:tcBorders>
          </w:tcPr>
          <w:p w:rsidR="00520F30" w:rsidRDefault="00520F30" w:rsidP="00520F30">
            <w:pPr>
              <w:pStyle w:val="TableParagraph"/>
              <w:spacing w:line="270" w:lineRule="exact"/>
              <w:ind w:left="141"/>
              <w:rPr>
                <w:sz w:val="24"/>
              </w:rPr>
            </w:pPr>
            <w:r>
              <w:rPr>
                <w:sz w:val="24"/>
              </w:rPr>
              <w:t>отказ</w:t>
            </w:r>
            <w:r>
              <w:rPr>
                <w:spacing w:val="4"/>
                <w:sz w:val="24"/>
              </w:rPr>
              <w:t xml:space="preserve"> </w:t>
            </w:r>
            <w:r>
              <w:rPr>
                <w:sz w:val="24"/>
              </w:rPr>
              <w:t>в</w:t>
            </w:r>
            <w:r>
              <w:rPr>
                <w:spacing w:val="2"/>
                <w:sz w:val="24"/>
              </w:rPr>
              <w:t xml:space="preserve"> </w:t>
            </w:r>
            <w:r>
              <w:rPr>
                <w:sz w:val="24"/>
              </w:rPr>
              <w:t>приеме</w:t>
            </w:r>
            <w:r>
              <w:rPr>
                <w:spacing w:val="2"/>
                <w:sz w:val="24"/>
              </w:rPr>
              <w:t xml:space="preserve"> </w:t>
            </w:r>
            <w:r>
              <w:rPr>
                <w:spacing w:val="-2"/>
                <w:sz w:val="24"/>
              </w:rPr>
              <w:t>документов:</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регламента – в устной</w:t>
            </w:r>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направленное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r>
              <w:rPr>
                <w:sz w:val="24"/>
              </w:rPr>
              <w:t>принятого</w:t>
            </w:r>
            <w:r>
              <w:rPr>
                <w:spacing w:val="3"/>
                <w:sz w:val="24"/>
              </w:rPr>
              <w:t xml:space="preserve"> </w:t>
            </w:r>
            <w:r>
              <w:rPr>
                <w:spacing w:val="-2"/>
                <w:sz w:val="24"/>
              </w:rPr>
              <w:t>решения</w:t>
            </w:r>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r w:rsidR="00C835AB">
              <w:rPr>
                <w:sz w:val="24"/>
                <w:lang w:val="ru-RU"/>
              </w:rPr>
              <w:t xml:space="preserve">к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r w:rsidRPr="00F424A4">
              <w:rPr>
                <w:sz w:val="24"/>
                <w:lang w:val="ru-RU"/>
              </w:rPr>
              <w:t>направленное (выданное) заявителю способом, указанным в</w:t>
            </w:r>
          </w:p>
          <w:p w:rsidR="00F424A4" w:rsidRDefault="00F424A4" w:rsidP="00E67C1C">
            <w:pPr>
              <w:pStyle w:val="TableParagraph"/>
              <w:spacing w:line="264" w:lineRule="exact"/>
              <w:ind w:left="141"/>
              <w:rPr>
                <w:sz w:val="24"/>
              </w:rPr>
            </w:pPr>
            <w:r>
              <w:rPr>
                <w:spacing w:val="-2"/>
                <w:sz w:val="24"/>
              </w:rPr>
              <w:t>заявлении</w:t>
            </w:r>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поступления зарегистрирова</w:t>
            </w:r>
            <w:r w:rsidRPr="00F424A4">
              <w:rPr>
                <w:spacing w:val="-4"/>
                <w:sz w:val="24"/>
                <w:lang w:val="ru-RU"/>
              </w:rPr>
              <w:t>нных</w:t>
            </w:r>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необходимых для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r w:rsidR="00397ABD">
              <w:rPr>
                <w:sz w:val="24"/>
                <w:szCs w:val="24"/>
                <w:lang w:val="ru-RU"/>
              </w:rPr>
              <w:t>а</w:t>
            </w:r>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r>
              <w:rPr>
                <w:sz w:val="24"/>
              </w:rPr>
              <w:t>рассмотрение</w:t>
            </w:r>
            <w:r>
              <w:rPr>
                <w:spacing w:val="7"/>
                <w:sz w:val="24"/>
              </w:rPr>
              <w:t xml:space="preserve"> </w:t>
            </w:r>
            <w:r>
              <w:rPr>
                <w:spacing w:val="-2"/>
                <w:sz w:val="24"/>
              </w:rPr>
              <w:t>документов</w:t>
            </w:r>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комплекта документов на</w:t>
            </w:r>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комиссию по вопросу бесплатного</w:t>
            </w:r>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r>
              <w:rPr>
                <w:sz w:val="24"/>
              </w:rPr>
              <w:t>Рассмотрение</w:t>
            </w:r>
            <w:r>
              <w:rPr>
                <w:spacing w:val="7"/>
                <w:sz w:val="24"/>
              </w:rPr>
              <w:t xml:space="preserve"> </w:t>
            </w:r>
            <w:r>
              <w:rPr>
                <w:sz w:val="24"/>
              </w:rPr>
              <w:t>документов</w:t>
            </w:r>
            <w:r>
              <w:rPr>
                <w:spacing w:val="6"/>
                <w:sz w:val="24"/>
              </w:rPr>
              <w:t xml:space="preserve"> </w:t>
            </w:r>
            <w:r>
              <w:rPr>
                <w:spacing w:val="-2"/>
                <w:sz w:val="24"/>
              </w:rPr>
              <w:t>Комиссией</w:t>
            </w:r>
          </w:p>
        </w:tc>
      </w:tr>
      <w:tr w:rsidR="00F424A4" w:rsidTr="00032413">
        <w:trPr>
          <w:trHeight w:val="7081"/>
        </w:trPr>
        <w:tc>
          <w:tcPr>
            <w:tcW w:w="2415" w:type="dxa"/>
          </w:tcPr>
          <w:p w:rsidR="00F424A4" w:rsidRDefault="00F424A4" w:rsidP="00E67C1C">
            <w:pPr>
              <w:pStyle w:val="TableParagraph"/>
              <w:ind w:left="146"/>
              <w:rPr>
                <w:sz w:val="24"/>
              </w:rPr>
            </w:pPr>
            <w:r>
              <w:rPr>
                <w:spacing w:val="-2"/>
                <w:sz w:val="24"/>
              </w:rPr>
              <w:lastRenderedPageBreak/>
              <w:t>Сформированный комплект</w:t>
            </w:r>
          </w:p>
          <w:p w:rsidR="00F424A4" w:rsidRDefault="00F424A4" w:rsidP="00E67C1C">
            <w:pPr>
              <w:pStyle w:val="TableParagraph"/>
              <w:spacing w:line="274" w:lineRule="exact"/>
              <w:ind w:left="146"/>
              <w:rPr>
                <w:sz w:val="24"/>
              </w:rPr>
            </w:pPr>
            <w:r>
              <w:rPr>
                <w:spacing w:val="-2"/>
                <w:sz w:val="24"/>
              </w:rPr>
              <w:t>документов</w:t>
            </w:r>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r>
              <w:rPr>
                <w:spacing w:val="-2"/>
                <w:sz w:val="24"/>
              </w:rPr>
              <w:t>Комиссия</w:t>
            </w:r>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r>
              <w:rPr>
                <w:spacing w:val="-2"/>
                <w:sz w:val="24"/>
              </w:rPr>
              <w:t>Утвержденный Протокол</w:t>
            </w:r>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r w:rsidRPr="0073620E">
              <w:rPr>
                <w:sz w:val="24"/>
                <w:lang w:val="ru-RU"/>
              </w:rPr>
              <w:t>предусмотренных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Pr>
                <w:spacing w:val="-2"/>
                <w:sz w:val="24"/>
              </w:rPr>
              <w:t>(представителю)</w:t>
            </w:r>
          </w:p>
          <w:p w:rsidR="00F0209D" w:rsidRDefault="00F0209D" w:rsidP="00F0209D">
            <w:pPr>
              <w:pStyle w:val="TableParagraph"/>
              <w:spacing w:line="274" w:lineRule="exact"/>
              <w:ind w:left="141"/>
              <w:rPr>
                <w:sz w:val="24"/>
              </w:rPr>
            </w:pPr>
            <w:r>
              <w:rPr>
                <w:sz w:val="24"/>
              </w:rPr>
              <w:t>следующими</w:t>
            </w:r>
            <w:r>
              <w:rPr>
                <w:spacing w:val="6"/>
                <w:sz w:val="24"/>
              </w:rPr>
              <w:t xml:space="preserve"> </w:t>
            </w:r>
            <w:r>
              <w:rPr>
                <w:spacing w:val="-2"/>
                <w:sz w:val="24"/>
              </w:rPr>
              <w:t>способами:</w:t>
            </w:r>
          </w:p>
          <w:p w:rsidR="00F0209D" w:rsidRDefault="00F0209D" w:rsidP="00F0209D">
            <w:pPr>
              <w:pStyle w:val="TableParagraph"/>
              <w:numPr>
                <w:ilvl w:val="0"/>
                <w:numId w:val="1"/>
              </w:numPr>
              <w:tabs>
                <w:tab w:val="left" w:pos="284"/>
              </w:tabs>
              <w:ind w:right="1025" w:firstLine="0"/>
              <w:rPr>
                <w:sz w:val="24"/>
              </w:rPr>
            </w:pPr>
            <w:r>
              <w:rPr>
                <w:sz w:val="24"/>
              </w:rPr>
              <w:t>в виде бумажного документа,</w:t>
            </w:r>
            <w:r>
              <w:rPr>
                <w:spacing w:val="-15"/>
                <w:sz w:val="24"/>
              </w:rPr>
              <w:t xml:space="preserve"> </w:t>
            </w:r>
            <w:r>
              <w:rPr>
                <w:sz w:val="24"/>
              </w:rPr>
              <w:t>который</w:t>
            </w:r>
          </w:p>
          <w:p w:rsidR="00F0209D" w:rsidRPr="00F424A4" w:rsidRDefault="00F0209D" w:rsidP="00F0209D">
            <w:pPr>
              <w:pStyle w:val="TableParagraph"/>
              <w:ind w:left="141" w:right="224"/>
              <w:rPr>
                <w:sz w:val="24"/>
                <w:lang w:val="ru-RU"/>
              </w:rPr>
            </w:pPr>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в виде бумажного документа,</w:t>
            </w:r>
            <w:r>
              <w:rPr>
                <w:spacing w:val="-15"/>
                <w:sz w:val="24"/>
              </w:rPr>
              <w:t xml:space="preserve"> </w:t>
            </w:r>
            <w:r>
              <w:rPr>
                <w:sz w:val="24"/>
              </w:rPr>
              <w:t>который</w:t>
            </w:r>
          </w:p>
          <w:p w:rsidR="00F0209D" w:rsidRDefault="00F0209D" w:rsidP="00F0209D">
            <w:pPr>
              <w:pStyle w:val="TableParagraph"/>
              <w:ind w:left="141"/>
              <w:rPr>
                <w:sz w:val="24"/>
              </w:rPr>
            </w:pPr>
            <w:r>
              <w:rPr>
                <w:sz w:val="24"/>
              </w:rPr>
              <w:t>направляется</w:t>
            </w:r>
            <w:r>
              <w:rPr>
                <w:spacing w:val="-15"/>
                <w:sz w:val="24"/>
              </w:rPr>
              <w:t xml:space="preserve"> </w:t>
            </w:r>
            <w:r>
              <w:rPr>
                <w:sz w:val="24"/>
              </w:rPr>
              <w:t xml:space="preserve">заявителю </w:t>
            </w:r>
            <w:r>
              <w:rPr>
                <w:spacing w:val="-2"/>
                <w:sz w:val="24"/>
              </w:rPr>
              <w:t>(представителю)</w:t>
            </w:r>
          </w:p>
          <w:p w:rsidR="00F0209D" w:rsidRPr="00F424A4" w:rsidRDefault="00F0209D" w:rsidP="00F0209D">
            <w:pPr>
              <w:pStyle w:val="TableParagraph"/>
              <w:ind w:left="141" w:right="224"/>
              <w:rPr>
                <w:sz w:val="24"/>
                <w:lang w:val="ru-RU"/>
              </w:rPr>
            </w:pPr>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r w:rsidR="00120A93">
              <w:rPr>
                <w:spacing w:val="-2"/>
                <w:sz w:val="24"/>
                <w:lang w:val="ru-RU"/>
              </w:rPr>
              <w:t xml:space="preserve"> </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направленное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r>
              <w:rPr>
                <w:sz w:val="24"/>
              </w:rPr>
              <w:t>направляется</w:t>
            </w:r>
            <w:r>
              <w:rPr>
                <w:spacing w:val="-15"/>
                <w:sz w:val="24"/>
              </w:rPr>
              <w:t xml:space="preserve"> </w:t>
            </w:r>
            <w:r>
              <w:rPr>
                <w:sz w:val="24"/>
              </w:rPr>
              <w:t>заявителю</w:t>
            </w:r>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(последнее-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(последнее-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5F00" w:rsidRDefault="00A25F00">
      <w:pPr>
        <w:spacing w:after="0" w:line="240" w:lineRule="auto"/>
      </w:pPr>
      <w:r>
        <w:separator/>
      </w:r>
    </w:p>
  </w:endnote>
  <w:endnote w:type="continuationSeparator" w:id="0">
    <w:p w:rsidR="00A25F00" w:rsidRDefault="00A2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5F00" w:rsidRDefault="00A25F00">
      <w:pPr>
        <w:spacing w:after="0" w:line="240" w:lineRule="auto"/>
      </w:pPr>
      <w:r>
        <w:separator/>
      </w:r>
    </w:p>
  </w:footnote>
  <w:footnote w:type="continuationSeparator" w:id="0">
    <w:p w:rsidR="00A25F00" w:rsidRDefault="00A25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890277"/>
      <w:docPartObj>
        <w:docPartGallery w:val="Page Numbers (Top of Page)"/>
        <w:docPartUnique/>
      </w:docPartObj>
    </w:sdtPr>
    <w:sdtContent>
      <w:p w:rsidR="0024007F" w:rsidRDefault="0024007F">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Pr>
            <w:rFonts w:ascii="Times New Roman" w:hAnsi="Times New Roman" w:cs="Times New Roman"/>
            <w:noProof/>
            <w:sz w:val="24"/>
            <w:szCs w:val="24"/>
          </w:rPr>
          <w:t>23</w:t>
        </w:r>
        <w:r w:rsidRPr="009A6578">
          <w:rPr>
            <w:rFonts w:ascii="Times New Roman" w:hAnsi="Times New Roman" w:cs="Times New Roman"/>
            <w:sz w:val="24"/>
            <w:szCs w:val="24"/>
          </w:rPr>
          <w:fldChar w:fldCharType="end"/>
        </w:r>
      </w:p>
    </w:sdtContent>
  </w:sdt>
  <w:p w:rsidR="0024007F" w:rsidRDefault="002400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07F" w:rsidRDefault="0024007F">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07F" w:rsidRDefault="0024007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C48B7"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dM5wEAALUDAAAOAAAAZHJzL2Uyb0RvYy54bWysU9tu2zAMfR+wfxD0vjhOi2Ez4hRdiw4D&#10;ugvQ7QMYWY6F2aJGKrG7rx8lJ2m3vQ17EWiKOjznkF5fTUOvDpbYoa91uVhqZb3Bxvldrb99vXv1&#10;RiuO4Bvo0dtaP1rWV5uXL9ZjqOwKO+wbS0pAPFdjqHUXY6iKgk1nB+AFBuvlskUaIMon7YqGYBT0&#10;oS9Wy+XrYkRqAqGxzJK9nS/1JuO3rTXxc9uyjaqvtXCL+aR8btNZbNZQ7QhC58yRBvwDiwGcl6Zn&#10;qFuIoPbk/oIanCFkbOPC4FBg2zpjswZRUy7/UPPQQbBZi5jD4WwT/z9Y8+nwhZRrar3SysMgI2rQ&#10;cGpcZnfGwJUUPQQpi9M7nGTKWSmHezTfWXm86cDv7DURjp2FRtiVydfi2dM0D644gWzHj9hIG9hH&#10;zEBTS0OyTsxQgi5TejxPxk5RGUmuLsuLpdwYuSrfXl7M3AqoTo8DcXxvcVApqDXJ4DM4HO45JjJQ&#10;nUpSL493ru/z8Hv/W0IKUyaTT3xn5nHaTlKdRGyxeRQZhPMuye5L0CH91GqUPao1/9gDWa36D16s&#10;SEt3CugUbE8BeCNPax21msObOC/nPpDbdYI8m+3xWuxqXZbyxOLIU3YjKzzucVq+59+56ulv2/wC&#10;AAD//wMAUEsDBBQABgAIAAAAIQDSMDOn3gAAAAkBAAAPAAAAZHJzL2Rvd25yZXYueG1sTI9NT4NA&#10;EIbvJv6HzZh4s0urEECWpjF6MjFSPHhcYAqbsrPIblv8944nvc3Hk3eeKbaLHcUZZ28cKVivIhBI&#10;resM9Qo+6pe7FIQPmjo9OkIF3+hhW15fFTrv3IUqPO9DLziEfK4VDCFMuZS+HdBqv3ITEu8ObrY6&#10;cDv3spv1hcPtKDdRlEirDfGFQU/4NGB73J+sgt0nVc/m6615rw6VqessotfkqNTtzbJ7BBFwCX8w&#10;/OqzOpTs1LgTdV6MCtL79YZRBfFDBoKBNMl40HARxyDLQv7/oPwBAAD//wMAUEsBAi0AFAAGAAgA&#10;AAAhALaDOJL+AAAA4QEAABMAAAAAAAAAAAAAAAAAAAAAAFtDb250ZW50X1R5cGVzXS54bWxQSwEC&#10;LQAUAAYACAAAACEAOP0h/9YAAACUAQAACwAAAAAAAAAAAAAAAAAvAQAAX3JlbHMvLnJlbHNQSwEC&#10;LQAUAAYACAAAACEA9GhXTOcBAAC1AwAADgAAAAAAAAAAAAAAAAAuAgAAZHJzL2Uyb0RvYy54bWxQ&#10;SwECLQAUAAYACAAAACEA0jAzp94AAAAJAQAADwAAAAAAAAAAAAAAAABBBAAAZHJzL2Rvd25yZXYu&#10;eG1sUEsFBgAAAAAEAAQA8wAAAEwFAAAAAA==&#10;" filled="f" stroked="f">
              <v:textbox inset="0,0,0,0">
                <w:txbxContent>
                  <w:p w:rsidR="0024007F" w:rsidRDefault="0024007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52</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07F" w:rsidRDefault="0024007F">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07F" w:rsidRDefault="0024007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53</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41E9"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UjAgIAAMQDAAAOAAAAZHJzL2Uyb0RvYy54bWysU0uO1DAQ3SNxB8t7OknPiE/U6dEwo0FI&#10;w0caOIDbcRKLxGXK7k6aHXuuMHdgwYIdV8jciLLTaQbYITZWxVX1/OrVy+ps6Fq2U+g0mIJni5Qz&#10;ZSSU2tQFf//u6tFTzpwXphQtGFXwvXL8bP3wwaq3uVpCA22pkBGIcXlvC954b/MkcbJRnXALsMpQ&#10;sgLshKdPrJMSRU/oXZss0/Rx0gOWFkEq5+j2ckrydcSvKiX9m6pyyrO24MTNxxPjuQlnsl6JvEZh&#10;Gy0PNMQ/sOiENvToEepSeMG2qP+C6rREcFD5hYQugarSUsUZaJos/WOam0ZYFWchcZw9yuT+H6x8&#10;vXuLTJe0uyecGdHRjsbb8ev4bfwxfr/7fPeFUYJU6q3LqfjGUrkfnsNAHXFiZ69BfnDMwEUjTK3O&#10;EaFvlCiJZRY6k3utE44LIJv+FZT0mth6iEBDhV2QkERhhE7b2h83pAbPJF0uT7OTlDKSUtmz05Ms&#10;bjAR+dxs0fkXCjoWgoIjGSCCi92184GMyOeS8JaBK9220QSt+e2CCsNNJB/4Tsz9sBkmtWZNNlDu&#10;aRqEyVr0K1DQAH7irCdbFdx93ApUnLUvDSkSPDgHOAebORBGUmvBPWdTeOEnr24t6roh5ElzA+ek&#10;WqXjREHeicWBLlklDnqwdfDi/e9Y9evnW/8EAAD//wMAUEsDBBQABgAIAAAAIQDSMDOn3gAAAAkB&#10;AAAPAAAAZHJzL2Rvd25yZXYueG1sTI9NT4NAEIbvJv6HzZh4s0urEECWpjF6MjFSPHhcYAqbsrPI&#10;blv8944nvc3Hk3eeKbaLHcUZZ28cKVivIhBIresM9Qo+6pe7FIQPmjo9OkIF3+hhW15fFTrv3IUq&#10;PO9DLziEfK4VDCFMuZS+HdBqv3ITEu8ObrY6cDv3spv1hcPtKDdRlEirDfGFQU/4NGB73J+sgt0n&#10;Vc/m6615rw6VqessotfkqNTtzbJ7BBFwCX8w/OqzOpTs1LgTdV6MCtL79YZRBfFDBoKBNMl40HAR&#10;xyDLQv7/oPwBAAD//wMAUEsBAi0AFAAGAAgAAAAhALaDOJL+AAAA4QEAABMAAAAAAAAAAAAAAAAA&#10;AAAAAFtDb250ZW50X1R5cGVzXS54bWxQSwECLQAUAAYACAAAACEAOP0h/9YAAACUAQAACwAAAAAA&#10;AAAAAAAAAAAvAQAAX3JlbHMvLnJlbHNQSwECLQAUAAYACAAAACEAebXlIwICAADEAwAADgAAAAAA&#10;AAAAAAAAAAAuAgAAZHJzL2Uyb0RvYy54bWxQSwECLQAUAAYACAAAACEA0jAzp94AAAAJAQAADwAA&#10;AAAAAAAAAAAAAABcBAAAZHJzL2Rvd25yZXYueG1sUEsFBgAAAAAEAAQA8wAAAGcFAAAAAA==&#10;" filled="f" stroked="f">
              <v:textbox inset="0,0,0,0">
                <w:txbxContent>
                  <w:p w:rsidR="0024007F" w:rsidRDefault="0024007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53</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15:restartNumberingAfterBreak="0">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15:restartNumberingAfterBreak="0">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15:restartNumberingAfterBreak="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5" w15:restartNumberingAfterBreak="0">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6" w15:restartNumberingAfterBreak="0">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7" w15:restartNumberingAfterBreak="0">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8" w15:restartNumberingAfterBreak="0">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8"/>
  </w:num>
  <w:num w:numId="2">
    <w:abstractNumId w:val="1"/>
  </w:num>
  <w:num w:numId="3">
    <w:abstractNumId w:val="0"/>
  </w:num>
  <w:num w:numId="4">
    <w:abstractNumId w:val="2"/>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007F"/>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205A"/>
    <w:rsid w:val="009861F8"/>
    <w:rsid w:val="00993D75"/>
    <w:rsid w:val="00994752"/>
    <w:rsid w:val="0099663A"/>
    <w:rsid w:val="009A2765"/>
    <w:rsid w:val="009A3146"/>
    <w:rsid w:val="009B0DB1"/>
    <w:rsid w:val="009B1BC6"/>
    <w:rsid w:val="009B6691"/>
    <w:rsid w:val="009C6DF5"/>
    <w:rsid w:val="009D4B21"/>
    <w:rsid w:val="009D6042"/>
    <w:rsid w:val="009D79C4"/>
    <w:rsid w:val="009E3B03"/>
    <w:rsid w:val="009F04CF"/>
    <w:rsid w:val="009F10F2"/>
    <w:rsid w:val="009F60D9"/>
    <w:rsid w:val="009F7157"/>
    <w:rsid w:val="00A01CFE"/>
    <w:rsid w:val="00A01D3A"/>
    <w:rsid w:val="00A06752"/>
    <w:rsid w:val="00A12DEA"/>
    <w:rsid w:val="00A21327"/>
    <w:rsid w:val="00A21485"/>
    <w:rsid w:val="00A22EAF"/>
    <w:rsid w:val="00A25F00"/>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3446"/>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B715"/>
  <w15:docId w15:val="{7B005D7D-1FE0-4AFB-80A3-01AF900D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bakovosp.ru" TargetMode="Externa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B651-4993-4756-9086-0294E73C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17462</Words>
  <Characters>99540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Галиахметов Денис Муллагалеевич</dc:creator>
  <cp:lastModifiedBy>User Windows</cp:lastModifiedBy>
  <cp:revision>11</cp:revision>
  <cp:lastPrinted>2023-05-02T12:16:00Z</cp:lastPrinted>
  <dcterms:created xsi:type="dcterms:W3CDTF">2023-05-02T12:24:00Z</dcterms:created>
  <dcterms:modified xsi:type="dcterms:W3CDTF">2024-07-11T07:53:00Z</dcterms:modified>
</cp:coreProperties>
</file>